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7A108" w14:textId="1EE0F40A" w:rsidR="00E73609" w:rsidRPr="001D0591" w:rsidRDefault="00E73609" w:rsidP="00E73609">
      <w:pPr>
        <w:pStyle w:val="Header"/>
        <w:keepLines/>
        <w:tabs>
          <w:tab w:val="right" w:pos="10440"/>
          <w:tab w:val="right" w:pos="13323"/>
        </w:tabs>
        <w:rPr>
          <w:rFonts w:cs="Arial"/>
          <w:sz w:val="24"/>
          <w:szCs w:val="24"/>
          <w:lang w:val="en-US" w:eastAsia="zh-CN"/>
        </w:rPr>
      </w:pPr>
      <w:r w:rsidRPr="001D0591">
        <w:rPr>
          <w:rFonts w:cs="Arial"/>
          <w:sz w:val="24"/>
          <w:szCs w:val="24"/>
        </w:rPr>
        <w:t xml:space="preserve">3GPP TSG-RAN WG4 Meeting # 96-e </w:t>
      </w:r>
      <w:r w:rsidRPr="001D0591">
        <w:rPr>
          <w:rFonts w:cs="Arial"/>
          <w:sz w:val="24"/>
          <w:szCs w:val="24"/>
        </w:rPr>
        <w:tab/>
      </w:r>
      <w:r w:rsidR="001D0591" w:rsidRPr="001D0591">
        <w:rPr>
          <w:rFonts w:cs="Arial"/>
          <w:bCs/>
          <w:sz w:val="24"/>
          <w:szCs w:val="24"/>
        </w:rPr>
        <w:t>R4-2010295</w:t>
      </w:r>
    </w:p>
    <w:p w14:paraId="53B979DC" w14:textId="77777777" w:rsidR="00E73609" w:rsidRPr="00A1069E" w:rsidRDefault="00E73609" w:rsidP="00E73609">
      <w:pPr>
        <w:pStyle w:val="Header"/>
        <w:tabs>
          <w:tab w:val="right" w:pos="9781"/>
          <w:tab w:val="right" w:pos="13323"/>
        </w:tabs>
        <w:outlineLvl w:val="0"/>
        <w:rPr>
          <w:rFonts w:cs="Arial"/>
          <w:sz w:val="24"/>
          <w:szCs w:val="24"/>
          <w:lang w:eastAsia="zh-CN"/>
        </w:rPr>
      </w:pPr>
      <w:r w:rsidRPr="00A1069E">
        <w:rPr>
          <w:rFonts w:cs="Arial"/>
          <w:sz w:val="24"/>
          <w:szCs w:val="24"/>
          <w:lang w:eastAsia="zh-CN"/>
        </w:rPr>
        <w:t>Electronic Meeting, 17</w:t>
      </w:r>
      <w:r w:rsidRPr="00A1069E">
        <w:rPr>
          <w:rFonts w:cs="Arial"/>
          <w:sz w:val="24"/>
          <w:szCs w:val="24"/>
          <w:vertAlign w:val="superscript"/>
          <w:lang w:eastAsia="zh-CN"/>
        </w:rPr>
        <w:t>th</w:t>
      </w:r>
      <w:r w:rsidRPr="00A1069E">
        <w:rPr>
          <w:rFonts w:cs="Arial"/>
          <w:sz w:val="24"/>
          <w:szCs w:val="24"/>
          <w:lang w:eastAsia="zh-CN"/>
        </w:rPr>
        <w:t xml:space="preserve"> – 28</w:t>
      </w:r>
      <w:r w:rsidRPr="00A1069E">
        <w:rPr>
          <w:rFonts w:cs="Arial"/>
          <w:sz w:val="24"/>
          <w:szCs w:val="24"/>
          <w:vertAlign w:val="superscript"/>
          <w:lang w:eastAsia="zh-CN"/>
        </w:rPr>
        <w:t>th</w:t>
      </w:r>
      <w:r w:rsidRPr="00A1069E">
        <w:rPr>
          <w:rFonts w:cs="Arial"/>
          <w:sz w:val="24"/>
          <w:szCs w:val="24"/>
          <w:lang w:eastAsia="zh-CN"/>
        </w:rPr>
        <w:t xml:space="preserve"> August, 2020</w:t>
      </w:r>
    </w:p>
    <w:p w14:paraId="0D84D17B" w14:textId="77777777" w:rsidR="00877FA0" w:rsidRPr="00596F47" w:rsidRDefault="00877FA0" w:rsidP="00877FA0">
      <w:pPr>
        <w:spacing w:after="60"/>
        <w:ind w:left="1985" w:hanging="1985"/>
        <w:rPr>
          <w:rFonts w:ascii="Arial" w:hAnsi="Arial" w:cs="Arial"/>
          <w:b/>
          <w:bCs/>
          <w:sz w:val="22"/>
          <w:szCs w:val="22"/>
        </w:rPr>
      </w:pPr>
    </w:p>
    <w:p w14:paraId="3B650605" w14:textId="43699AA3" w:rsidR="00877FA0" w:rsidRPr="00596F47" w:rsidRDefault="00877FA0" w:rsidP="00877FA0">
      <w:pPr>
        <w:spacing w:after="60"/>
        <w:ind w:left="1985" w:hanging="1985"/>
        <w:rPr>
          <w:rFonts w:ascii="Arial" w:hAnsi="Arial" w:cs="Arial"/>
          <w:b/>
          <w:sz w:val="22"/>
          <w:szCs w:val="22"/>
        </w:rPr>
      </w:pPr>
      <w:r w:rsidRPr="00596F47">
        <w:rPr>
          <w:rFonts w:ascii="Arial" w:hAnsi="Arial" w:cs="Arial"/>
          <w:b/>
          <w:sz w:val="22"/>
          <w:szCs w:val="22"/>
        </w:rPr>
        <w:t>Title:</w:t>
      </w:r>
      <w:r w:rsidRPr="00596F47">
        <w:rPr>
          <w:rFonts w:ascii="Arial" w:hAnsi="Arial" w:cs="Arial"/>
          <w:b/>
          <w:sz w:val="22"/>
          <w:szCs w:val="22"/>
        </w:rPr>
        <w:tab/>
      </w:r>
      <w:r w:rsidR="00E92CC7">
        <w:rPr>
          <w:rFonts w:ascii="Arial" w:hAnsi="Arial" w:cs="Arial"/>
          <w:b/>
          <w:sz w:val="22"/>
          <w:szCs w:val="22"/>
        </w:rPr>
        <w:t xml:space="preserve">Rel-16 </w:t>
      </w:r>
      <w:r w:rsidR="007668DB">
        <w:rPr>
          <w:rFonts w:ascii="Arial" w:hAnsi="Arial" w:cs="Arial"/>
          <w:b/>
          <w:sz w:val="22"/>
          <w:szCs w:val="22"/>
        </w:rPr>
        <w:t xml:space="preserve">Power Class 2 for </w:t>
      </w:r>
      <w:r w:rsidR="008D3824" w:rsidRPr="008D3824">
        <w:rPr>
          <w:rFonts w:ascii="Arial" w:hAnsi="Arial" w:cs="Arial" w:hint="eastAsia"/>
          <w:b/>
          <w:sz w:val="22"/>
          <w:szCs w:val="22"/>
        </w:rPr>
        <w:t>EN-DC FDD+TDD UE</w:t>
      </w:r>
      <w:r w:rsidRPr="00596F47">
        <w:rPr>
          <w:rFonts w:ascii="Arial" w:hAnsi="Arial" w:cs="Arial"/>
          <w:b/>
          <w:sz w:val="22"/>
          <w:szCs w:val="22"/>
        </w:rPr>
        <w:br/>
      </w:r>
    </w:p>
    <w:p w14:paraId="2DA4B958" w14:textId="235E66C0" w:rsidR="00877FA0" w:rsidRPr="00596F47" w:rsidRDefault="00877FA0" w:rsidP="00877FA0">
      <w:pPr>
        <w:spacing w:after="60"/>
        <w:ind w:left="1985" w:hanging="1985"/>
        <w:rPr>
          <w:rFonts w:ascii="Arial" w:hAnsi="Arial" w:cs="Arial"/>
          <w:b/>
          <w:sz w:val="22"/>
          <w:szCs w:val="22"/>
        </w:rPr>
      </w:pPr>
      <w:r w:rsidRPr="00596F47">
        <w:rPr>
          <w:rFonts w:ascii="Arial" w:hAnsi="Arial" w:cs="Arial"/>
          <w:b/>
          <w:sz w:val="22"/>
          <w:szCs w:val="22"/>
        </w:rPr>
        <w:t>Source:</w:t>
      </w:r>
      <w:r w:rsidRPr="00596F47">
        <w:rPr>
          <w:rFonts w:ascii="Arial" w:hAnsi="Arial" w:cs="Arial"/>
          <w:b/>
          <w:sz w:val="22"/>
          <w:szCs w:val="22"/>
        </w:rPr>
        <w:tab/>
        <w:t>Verizon</w:t>
      </w:r>
      <w:r w:rsidR="00AB529A" w:rsidRPr="00596F47">
        <w:rPr>
          <w:rFonts w:ascii="Arial" w:hAnsi="Arial" w:cs="Arial"/>
          <w:b/>
          <w:sz w:val="22"/>
          <w:szCs w:val="22"/>
        </w:rPr>
        <w:t>, Qualco</w:t>
      </w:r>
      <w:r w:rsidR="00C27078">
        <w:rPr>
          <w:rFonts w:ascii="Arial" w:hAnsi="Arial" w:cs="Arial"/>
          <w:b/>
          <w:sz w:val="22"/>
          <w:szCs w:val="22"/>
        </w:rPr>
        <w:t>mm</w:t>
      </w:r>
      <w:r w:rsidR="009E6526">
        <w:rPr>
          <w:rFonts w:ascii="Arial" w:hAnsi="Arial" w:cs="Arial"/>
          <w:b/>
          <w:sz w:val="22"/>
          <w:szCs w:val="22"/>
        </w:rPr>
        <w:t xml:space="preserve">, </w:t>
      </w:r>
      <w:r w:rsidR="00E250CE">
        <w:rPr>
          <w:rFonts w:ascii="Arial" w:hAnsi="Arial" w:cs="Arial"/>
          <w:b/>
          <w:sz w:val="22"/>
          <w:szCs w:val="22"/>
        </w:rPr>
        <w:t xml:space="preserve">Nokia, </w:t>
      </w:r>
      <w:r w:rsidR="009E6526">
        <w:rPr>
          <w:rFonts w:ascii="Arial" w:hAnsi="Arial" w:cs="Arial"/>
          <w:b/>
          <w:sz w:val="22"/>
          <w:szCs w:val="22"/>
        </w:rPr>
        <w:t>Apple</w:t>
      </w:r>
    </w:p>
    <w:p w14:paraId="23674268" w14:textId="6B077DEA" w:rsidR="00877FA0" w:rsidRPr="00596F47" w:rsidRDefault="00F10AF8" w:rsidP="00877FA0">
      <w:pPr>
        <w:spacing w:after="60"/>
        <w:ind w:left="1985" w:hanging="1985"/>
        <w:rPr>
          <w:rFonts w:ascii="Arial" w:hAnsi="Arial" w:cs="Arial"/>
          <w:b/>
          <w:sz w:val="22"/>
          <w:szCs w:val="22"/>
        </w:rPr>
      </w:pPr>
      <w:r w:rsidRPr="00596F47">
        <w:rPr>
          <w:rFonts w:ascii="Arial" w:hAnsi="Arial" w:cs="Arial"/>
          <w:b/>
          <w:sz w:val="22"/>
          <w:szCs w:val="22"/>
        </w:rPr>
        <w:t>Agenda item:</w:t>
      </w:r>
      <w:r w:rsidRPr="00596F47">
        <w:rPr>
          <w:rFonts w:ascii="Arial" w:hAnsi="Arial" w:cs="Arial"/>
          <w:b/>
          <w:sz w:val="22"/>
          <w:szCs w:val="22"/>
        </w:rPr>
        <w:tab/>
      </w:r>
      <w:r w:rsidR="00367782">
        <w:rPr>
          <w:rFonts w:ascii="Arial" w:hAnsi="Arial" w:cs="Arial"/>
          <w:b/>
          <w:sz w:val="22"/>
          <w:szCs w:val="22"/>
        </w:rPr>
        <w:t>9.2.1</w:t>
      </w:r>
    </w:p>
    <w:p w14:paraId="4B6B56AA" w14:textId="77777777" w:rsidR="00877FA0" w:rsidRPr="00596F47" w:rsidRDefault="00877FA0" w:rsidP="00877FA0">
      <w:pPr>
        <w:spacing w:after="60"/>
        <w:ind w:left="1985" w:hanging="1985"/>
        <w:rPr>
          <w:rFonts w:ascii="Arial" w:hAnsi="Arial" w:cs="Arial"/>
          <w:b/>
          <w:sz w:val="22"/>
          <w:szCs w:val="22"/>
        </w:rPr>
      </w:pPr>
      <w:r w:rsidRPr="00596F47">
        <w:rPr>
          <w:rFonts w:ascii="Arial" w:hAnsi="Arial" w:cs="Arial"/>
          <w:b/>
          <w:sz w:val="22"/>
          <w:szCs w:val="22"/>
        </w:rPr>
        <w:t>Document for:</w:t>
      </w:r>
      <w:r w:rsidRPr="00596F47">
        <w:rPr>
          <w:rFonts w:ascii="Arial" w:hAnsi="Arial" w:cs="Arial"/>
          <w:b/>
          <w:sz w:val="22"/>
          <w:szCs w:val="22"/>
        </w:rPr>
        <w:tab/>
        <w:t>Approval</w:t>
      </w:r>
    </w:p>
    <w:p w14:paraId="6FE88B27" w14:textId="77777777" w:rsidR="002750BC" w:rsidRPr="00596F47" w:rsidRDefault="002750BC">
      <w:pPr>
        <w:rPr>
          <w:rFonts w:ascii="Arial" w:hAnsi="Arial" w:cs="Arial"/>
        </w:rPr>
      </w:pPr>
    </w:p>
    <w:p w14:paraId="472F3760" w14:textId="77777777" w:rsidR="00570C9F" w:rsidRPr="00596F47" w:rsidRDefault="00570C9F">
      <w:pPr>
        <w:rPr>
          <w:rFonts w:ascii="Arial" w:hAnsi="Arial" w:cs="Arial"/>
        </w:rPr>
      </w:pPr>
      <w:r w:rsidRPr="00596F47">
        <w:rPr>
          <w:rFonts w:ascii="Arial" w:hAnsi="Arial" w:cs="Arial"/>
        </w:rPr>
        <w:t>--------------------------------------------------------------------------------------------------------------------------------------------</w:t>
      </w:r>
    </w:p>
    <w:p w14:paraId="796C4067" w14:textId="77777777" w:rsidR="004B00F3" w:rsidRPr="00596F47" w:rsidRDefault="004B00F3" w:rsidP="004B00F3">
      <w:pPr>
        <w:pStyle w:val="Heading1"/>
        <w:ind w:left="720"/>
        <w:rPr>
          <w:rFonts w:ascii="Arial" w:eastAsia="Times New Roman" w:hAnsi="Arial" w:cs="Arial"/>
          <w:color w:val="auto"/>
        </w:rPr>
      </w:pPr>
      <w:r w:rsidRPr="00596F47">
        <w:rPr>
          <w:rFonts w:ascii="Arial" w:hAnsi="Arial" w:cs="Arial"/>
          <w:color w:val="auto"/>
          <w:sz w:val="28"/>
          <w:szCs w:val="28"/>
        </w:rPr>
        <w:t>1.</w:t>
      </w:r>
      <w:r w:rsidRPr="00596F47">
        <w:rPr>
          <w:rFonts w:ascii="Arial" w:hAnsi="Arial" w:cs="Arial"/>
          <w:b/>
          <w:bCs/>
          <w:color w:val="auto"/>
          <w:sz w:val="14"/>
          <w:szCs w:val="14"/>
        </w:rPr>
        <w:t xml:space="preserve">   </w:t>
      </w:r>
      <w:r w:rsidRPr="00596F47">
        <w:rPr>
          <w:rFonts w:ascii="Arial" w:hAnsi="Arial" w:cs="Arial"/>
          <w:color w:val="auto"/>
          <w:sz w:val="28"/>
          <w:szCs w:val="28"/>
        </w:rPr>
        <w:t>Introduction</w:t>
      </w:r>
    </w:p>
    <w:p w14:paraId="48EFAA26" w14:textId="77777777" w:rsidR="004B00F3" w:rsidRDefault="004B00F3" w:rsidP="004B00F3">
      <w:pPr>
        <w:pStyle w:val="gmail-msonospacing"/>
        <w:spacing w:before="0" w:beforeAutospacing="0" w:after="0" w:afterAutospacing="0"/>
        <w:rPr>
          <w:sz w:val="20"/>
          <w:szCs w:val="20"/>
        </w:rPr>
      </w:pPr>
      <w:r>
        <w:rPr>
          <w:sz w:val="20"/>
          <w:szCs w:val="20"/>
          <w:lang w:val="en-GB"/>
        </w:rPr>
        <w:t>Power class 2 UE for FDD+TDD EN-DC is one of Rel-16 features and the topic was discussed in several RAN4 meetings. So far, there are numbers of options on the table without a consensus, and RAN4 cannot </w:t>
      </w:r>
      <w:r>
        <w:rPr>
          <w:sz w:val="20"/>
          <w:szCs w:val="20"/>
        </w:rPr>
        <w:t>itemize these options in standard requirements for the FDD and TDD EN-DC band combination to support 26dBm power class, as well as capability parameters of configuration. An additional discussion happened in the June RAN meeting and the completion date of this work was postponed to RAN#89 (September 2020).</w:t>
      </w:r>
    </w:p>
    <w:p w14:paraId="2D5F6207" w14:textId="77777777" w:rsidR="004B00F3" w:rsidRDefault="004B00F3" w:rsidP="004B00F3">
      <w:pPr>
        <w:pStyle w:val="gmail-msonospacing"/>
        <w:spacing w:before="0" w:beforeAutospacing="0" w:after="0" w:afterAutospacing="0"/>
        <w:rPr>
          <w:sz w:val="20"/>
          <w:szCs w:val="20"/>
        </w:rPr>
      </w:pPr>
      <w:r>
        <w:rPr>
          <w:sz w:val="20"/>
          <w:szCs w:val="20"/>
          <w:lang w:val="en-GB"/>
        </w:rPr>
        <w:t> </w:t>
      </w:r>
    </w:p>
    <w:p w14:paraId="3F406170" w14:textId="77777777" w:rsidR="004B00F3" w:rsidRDefault="004B00F3" w:rsidP="004B00F3">
      <w:pPr>
        <w:pStyle w:val="gmail-msonospacing"/>
        <w:spacing w:before="0" w:beforeAutospacing="0" w:after="0" w:afterAutospacing="0"/>
        <w:rPr>
          <w:sz w:val="20"/>
          <w:szCs w:val="20"/>
        </w:rPr>
      </w:pPr>
      <w:r>
        <w:rPr>
          <w:sz w:val="20"/>
          <w:szCs w:val="20"/>
          <w:lang w:val="en-GB"/>
        </w:rPr>
        <w:t xml:space="preserve">For sure, companies will continually search for a baseline of the </w:t>
      </w:r>
      <w:r w:rsidR="008F22EA">
        <w:rPr>
          <w:sz w:val="20"/>
          <w:szCs w:val="20"/>
          <w:lang w:val="en-GB"/>
        </w:rPr>
        <w:t>Rel-</w:t>
      </w:r>
      <w:r>
        <w:rPr>
          <w:sz w:val="20"/>
          <w:szCs w:val="20"/>
          <w:lang w:val="en-GB"/>
        </w:rPr>
        <w:t xml:space="preserve">16 for the urgent deployment plans. However, it seems very difficult to reach a consensus </w:t>
      </w:r>
      <w:r>
        <w:rPr>
          <w:rStyle w:val="gmail-st1"/>
          <w:sz w:val="20"/>
          <w:szCs w:val="20"/>
          <w:lang w:val="en-GB"/>
        </w:rPr>
        <w:t xml:space="preserve">from multiple options and complete the specification requirement in a single meeting. </w:t>
      </w:r>
    </w:p>
    <w:p w14:paraId="23E6D6B0" w14:textId="77777777" w:rsidR="004B00F3" w:rsidRDefault="004B00F3" w:rsidP="004B00F3">
      <w:pPr>
        <w:pStyle w:val="gmail-msonospacing"/>
        <w:spacing w:before="0" w:beforeAutospacing="0" w:after="0" w:afterAutospacing="0"/>
        <w:rPr>
          <w:sz w:val="20"/>
          <w:szCs w:val="20"/>
        </w:rPr>
      </w:pPr>
      <w:r>
        <w:rPr>
          <w:rStyle w:val="gmail-st1"/>
          <w:sz w:val="20"/>
          <w:szCs w:val="20"/>
          <w:lang w:val="en-GB"/>
        </w:rPr>
        <w:t> </w:t>
      </w:r>
    </w:p>
    <w:p w14:paraId="69C6DEF9" w14:textId="77777777" w:rsidR="004B00F3" w:rsidRDefault="004B00F3" w:rsidP="004B00F3">
      <w:pPr>
        <w:pStyle w:val="gmail-msonospacing"/>
        <w:spacing w:before="0" w:beforeAutospacing="0" w:after="0" w:afterAutospacing="0"/>
        <w:rPr>
          <w:sz w:val="20"/>
          <w:szCs w:val="20"/>
        </w:rPr>
      </w:pPr>
      <w:r>
        <w:rPr>
          <w:sz w:val="20"/>
          <w:szCs w:val="20"/>
          <w:lang w:val="en-GB"/>
        </w:rPr>
        <w:t>In this contribution, we have proposals to avoid further delay of this useful feature. </w:t>
      </w:r>
    </w:p>
    <w:p w14:paraId="0D64E9C6" w14:textId="77777777" w:rsidR="004B00F3" w:rsidRDefault="004B00F3" w:rsidP="004B00F3">
      <w:pPr>
        <w:pStyle w:val="NoSpacing"/>
        <w:rPr>
          <w:rFonts w:ascii="Arial" w:hAnsi="Arial" w:cs="Arial"/>
        </w:rPr>
      </w:pPr>
    </w:p>
    <w:p w14:paraId="7369194F" w14:textId="77777777" w:rsidR="004B00F3" w:rsidRPr="00596F47" w:rsidRDefault="004B00F3" w:rsidP="004B00F3">
      <w:pPr>
        <w:pStyle w:val="Heading1"/>
        <w:ind w:left="720"/>
        <w:rPr>
          <w:rFonts w:ascii="Arial" w:hAnsi="Arial" w:cs="Arial"/>
          <w:color w:val="auto"/>
        </w:rPr>
      </w:pPr>
      <w:r w:rsidRPr="00596F47">
        <w:rPr>
          <w:rFonts w:ascii="Arial" w:hAnsi="Arial" w:cs="Arial"/>
          <w:color w:val="auto"/>
          <w:sz w:val="28"/>
          <w:szCs w:val="28"/>
        </w:rPr>
        <w:t>2.</w:t>
      </w:r>
      <w:r w:rsidRPr="00596F47">
        <w:rPr>
          <w:rFonts w:ascii="Arial" w:hAnsi="Arial" w:cs="Arial"/>
          <w:b/>
          <w:bCs/>
          <w:color w:val="auto"/>
          <w:sz w:val="14"/>
          <w:szCs w:val="14"/>
        </w:rPr>
        <w:t xml:space="preserve">   </w:t>
      </w:r>
      <w:r w:rsidRPr="00596F47">
        <w:rPr>
          <w:rFonts w:ascii="Arial" w:hAnsi="Arial" w:cs="Arial"/>
          <w:color w:val="auto"/>
          <w:sz w:val="28"/>
          <w:szCs w:val="28"/>
        </w:rPr>
        <w:t xml:space="preserve">Discussion </w:t>
      </w:r>
    </w:p>
    <w:p w14:paraId="21FCD760" w14:textId="77777777" w:rsidR="004B00F3" w:rsidRPr="00401F56" w:rsidRDefault="004B00F3" w:rsidP="004B00F3">
      <w:pPr>
        <w:pStyle w:val="NoSpacing"/>
      </w:pPr>
      <w:r w:rsidRPr="00401F56">
        <w:t xml:space="preserve">The reason didn’t reach a consensus for the PC2 EN-DC FDD+TDD UE is because both “duty cycle” and “blind” </w:t>
      </w:r>
      <w:proofErr w:type="gramStart"/>
      <w:r w:rsidRPr="00401F56">
        <w:t>schemes</w:t>
      </w:r>
      <w:proofErr w:type="gramEnd"/>
      <w:r w:rsidRPr="00401F56">
        <w:t xml:space="preserve"> have their technical advantages, the first scheme can take advantage of UE capability reporting so the </w:t>
      </w:r>
      <w:proofErr w:type="spellStart"/>
      <w:r w:rsidRPr="00401F56">
        <w:t>basestation</w:t>
      </w:r>
      <w:proofErr w:type="spellEnd"/>
      <w:r w:rsidRPr="00401F56">
        <w:t xml:space="preserve"> (BS) has a priori knowledge to optimize scheduling for the UE. Then UE could have a default value of </w:t>
      </w:r>
      <w:proofErr w:type="spellStart"/>
      <w:r w:rsidRPr="00401F56">
        <w:t>maxNRDuty</w:t>
      </w:r>
      <w:proofErr w:type="spellEnd"/>
      <w:r w:rsidRPr="00401F56">
        <w:t xml:space="preserve"> to control the power of LTE and NR combination. The second scheme does not require or utilize any UE feedback so the BS does not have a priori knowledge but must schedule blindly relying only on its own knowledge of its LTE power imposed power cap to NR configured </w:t>
      </w:r>
      <w:r>
        <w:t xml:space="preserve">uplink duty cycle. An agreement cannot be reached in RAN4 </w:t>
      </w:r>
      <w:r w:rsidRPr="00401F56">
        <w:t>because companies have different views, mainly about the possible (duty cycle) latency of FDD uplink or the level of (blind) power downside on LTE uplink</w:t>
      </w:r>
      <w:r>
        <w:t>, from one or another option.</w:t>
      </w:r>
    </w:p>
    <w:p w14:paraId="7BDF3219" w14:textId="77777777" w:rsidR="004B00F3" w:rsidRDefault="004B00F3" w:rsidP="004B00F3">
      <w:pPr>
        <w:pStyle w:val="NoSpacing"/>
      </w:pPr>
    </w:p>
    <w:p w14:paraId="3C91DA13" w14:textId="77777777" w:rsidR="004B00F3" w:rsidRPr="002D4EE4" w:rsidRDefault="004B00F3" w:rsidP="002D4EE4">
      <w:pPr>
        <w:pStyle w:val="NoSpacing"/>
      </w:pPr>
      <w:r>
        <w:t>N</w:t>
      </w:r>
      <w:r w:rsidRPr="002D4EE4">
        <w:t>ow, it is no right time to compare two options or narrow options</w:t>
      </w:r>
      <w:r w:rsidRPr="002D4EE4">
        <w:rPr>
          <w:rStyle w:val="gmail-st1"/>
        </w:rPr>
        <w:t xml:space="preserve"> down in RAN4 continually. In our view, </w:t>
      </w:r>
      <w:r w:rsidRPr="002D4EE4">
        <w:t>RAN4 should keep both options open for further studies and should further investigate other possible option(s) for a solution which can tighten the coordinate between FDD and TDD and mostly utilize all network architectures.</w:t>
      </w:r>
    </w:p>
    <w:p w14:paraId="4267E172" w14:textId="77777777" w:rsidR="004B00F3" w:rsidRPr="002D4EE4" w:rsidRDefault="004B00F3" w:rsidP="002D4EE4">
      <w:pPr>
        <w:pStyle w:val="NoSpacing"/>
      </w:pPr>
    </w:p>
    <w:p w14:paraId="2640A463" w14:textId="77777777" w:rsidR="004B00F3" w:rsidRPr="002D4EE4" w:rsidRDefault="004B00F3" w:rsidP="002D4EE4">
      <w:pPr>
        <w:pStyle w:val="NoSpacing"/>
      </w:pPr>
      <w:r w:rsidRPr="002D4EE4">
        <w:t xml:space="preserve">Then, what is the “baseline” of the PC2 EN-DC FDD+TDD UE for </w:t>
      </w:r>
      <w:r w:rsidR="008F22EA">
        <w:t>Rel-1</w:t>
      </w:r>
      <w:r w:rsidRPr="002D4EE4">
        <w:t xml:space="preserve">6? In fact, there is already an existing solution using P-MPR since </w:t>
      </w:r>
      <w:r w:rsidR="008F22EA">
        <w:t xml:space="preserve">Release </w:t>
      </w:r>
      <w:r w:rsidRPr="002D4EE4">
        <w:t xml:space="preserve">15. This UE based solution can be the baseline approach rather than to continue discussion other approaches thereby delaying completion of the work item further. As acknowledged, this solution can manage the UE transmission power to ensure exposure protection by average of transmission power. For the 26dBm EN-DC FDD+TDD UE, it averages the FDD power in every 10ms interval which is the same 10ms TDD radio frame time. Also, the scheme can subtract the LTE power in order to be in the region of power for transmission on TDD. So, this feature can meet the exposure protection requirement for the </w:t>
      </w:r>
      <w:r w:rsidR="008F22EA">
        <w:t>Rel-</w:t>
      </w:r>
      <w:r w:rsidRPr="002D4EE4">
        <w:t>16 PC2 UE.</w:t>
      </w:r>
    </w:p>
    <w:p w14:paraId="18EF38DE" w14:textId="77777777" w:rsidR="004B00F3" w:rsidRPr="002D4EE4" w:rsidRDefault="004B00F3" w:rsidP="002D4EE4">
      <w:pPr>
        <w:pStyle w:val="NoSpacing"/>
      </w:pPr>
      <w:r w:rsidRPr="002D4EE4">
        <w:t xml:space="preserve"> </w:t>
      </w:r>
    </w:p>
    <w:p w14:paraId="2C655A64" w14:textId="77777777" w:rsidR="008D266C" w:rsidRPr="002D4EE4" w:rsidRDefault="008D266C" w:rsidP="008D266C">
      <w:pPr>
        <w:pStyle w:val="NoSpacing"/>
      </w:pPr>
      <w:r>
        <w:t>In addition, t</w:t>
      </w:r>
      <w:r w:rsidRPr="002D4EE4">
        <w:t>h</w:t>
      </w:r>
      <w:r>
        <w:t xml:space="preserve">e </w:t>
      </w:r>
      <w:r w:rsidRPr="002D4EE4">
        <w:t xml:space="preserve">UE based P-MPR solution doesn’t require any specification change to delay introducing the particular band combinations and their technical analyses waiting for agreement on a general network-based alternative (duty cycle or blind). The </w:t>
      </w:r>
      <w:r>
        <w:t xml:space="preserve">band </w:t>
      </w:r>
      <w:r w:rsidRPr="002D4EE4">
        <w:t>combinations and their technical requirements (i.e., MSD) can be immediately added to the spec</w:t>
      </w:r>
      <w:r>
        <w:t xml:space="preserve">, </w:t>
      </w:r>
      <w:r w:rsidRPr="002D4EE4">
        <w:t xml:space="preserve">and any additional general requirements can be added later if agreement can be </w:t>
      </w:r>
      <w:r w:rsidRPr="002D4EE4">
        <w:lastRenderedPageBreak/>
        <w:t>reached. For operators’ urgent deployment plans, th</w:t>
      </w:r>
      <w:r>
        <w:t xml:space="preserve">is </w:t>
      </w:r>
      <w:r w:rsidRPr="002D4EE4">
        <w:t>solution ensure</w:t>
      </w:r>
      <w:r>
        <w:t>s</w:t>
      </w:r>
      <w:r w:rsidRPr="002D4EE4">
        <w:t xml:space="preserve"> the feature of FDD+TDD EN-DC HPUE and be implemented in Rel-16.   </w:t>
      </w:r>
    </w:p>
    <w:p w14:paraId="47497B94" w14:textId="77777777" w:rsidR="00902983" w:rsidRDefault="00902983" w:rsidP="00902983">
      <w:pPr>
        <w:pStyle w:val="NoSpacing"/>
      </w:pPr>
    </w:p>
    <w:p w14:paraId="6916C104" w14:textId="57AD86AA" w:rsidR="00F00E6A" w:rsidRPr="006A6CFC" w:rsidRDefault="00F00E6A" w:rsidP="006A6CFC">
      <w:pPr>
        <w:pStyle w:val="NoSpacing"/>
      </w:pPr>
      <w:r w:rsidRPr="006A6CFC">
        <w:t xml:space="preserve">For </w:t>
      </w:r>
      <w:r w:rsidRPr="006A6CFC">
        <w:rPr>
          <w:rStyle w:val="st1"/>
        </w:rPr>
        <w:t xml:space="preserve">accompanying a standard decision, </w:t>
      </w:r>
      <w:r w:rsidRPr="006A6CFC">
        <w:rPr>
          <w:rStyle w:val="Emphasis"/>
          <w:b w:val="0"/>
          <w:bCs w:val="0"/>
        </w:rPr>
        <w:t>we</w:t>
      </w:r>
      <w:r w:rsidRPr="006A6CFC">
        <w:rPr>
          <w:rStyle w:val="st1"/>
        </w:rPr>
        <w:t xml:space="preserve"> </w:t>
      </w:r>
      <w:r w:rsidR="00FB456A">
        <w:rPr>
          <w:rStyle w:val="st1"/>
        </w:rPr>
        <w:t xml:space="preserve">have to </w:t>
      </w:r>
      <w:r w:rsidR="00937C69">
        <w:rPr>
          <w:rStyle w:val="st1"/>
        </w:rPr>
        <w:t>follow</w:t>
      </w:r>
      <w:r w:rsidR="00FB456A">
        <w:rPr>
          <w:rStyle w:val="st1"/>
        </w:rPr>
        <w:t xml:space="preserve">ing </w:t>
      </w:r>
      <w:r w:rsidRPr="006A6CFC">
        <w:rPr>
          <w:rStyle w:val="Emphasis"/>
          <w:b w:val="0"/>
          <w:bCs w:val="0"/>
        </w:rPr>
        <w:t>proposal</w:t>
      </w:r>
      <w:r w:rsidR="00937C69">
        <w:rPr>
          <w:rStyle w:val="Emphasis"/>
          <w:b w:val="0"/>
          <w:bCs w:val="0"/>
        </w:rPr>
        <w:t>s</w:t>
      </w:r>
      <w:r w:rsidRPr="006A6CFC">
        <w:rPr>
          <w:rStyle w:val="st1"/>
        </w:rPr>
        <w:t xml:space="preserve"> to firm </w:t>
      </w:r>
      <w:r w:rsidR="00937C69">
        <w:rPr>
          <w:rStyle w:val="st1"/>
        </w:rPr>
        <w:t xml:space="preserve">a </w:t>
      </w:r>
      <w:r w:rsidR="006A6CFC" w:rsidRPr="006A6CFC">
        <w:rPr>
          <w:rStyle w:val="st1"/>
        </w:rPr>
        <w:t xml:space="preserve">quick RAN4 </w:t>
      </w:r>
      <w:r w:rsidR="00937C69" w:rsidRPr="006A6CFC">
        <w:rPr>
          <w:rStyle w:val="st1"/>
        </w:rPr>
        <w:t>decision</w:t>
      </w:r>
      <w:r w:rsidR="006A6CFC" w:rsidRPr="006A6CFC">
        <w:rPr>
          <w:rStyle w:val="st1"/>
        </w:rPr>
        <w:t xml:space="preserve"> </w:t>
      </w:r>
      <w:r w:rsidR="00937C69">
        <w:rPr>
          <w:rStyle w:val="st1"/>
        </w:rPr>
        <w:t>in supporting the</w:t>
      </w:r>
      <w:r w:rsidR="006A6CFC" w:rsidRPr="006A6CFC">
        <w:rPr>
          <w:rStyle w:val="st1"/>
        </w:rPr>
        <w:t xml:space="preserve"> operators’ deployment plans.</w:t>
      </w:r>
    </w:p>
    <w:p w14:paraId="28F7B802" w14:textId="77777777" w:rsidR="009E46C2" w:rsidRPr="006A6CFC" w:rsidRDefault="009E46C2" w:rsidP="006A6CFC">
      <w:pPr>
        <w:pStyle w:val="NoSpacing"/>
      </w:pPr>
    </w:p>
    <w:p w14:paraId="425ADA60" w14:textId="77777777" w:rsidR="00902983" w:rsidRPr="006A6CFC" w:rsidRDefault="00902983" w:rsidP="006A6CFC">
      <w:pPr>
        <w:pStyle w:val="NoSpacing"/>
        <w:rPr>
          <w:b/>
        </w:rPr>
      </w:pPr>
      <w:r w:rsidRPr="006A6CFC">
        <w:rPr>
          <w:b/>
        </w:rPr>
        <w:t xml:space="preserve">Proposal 1: </w:t>
      </w:r>
      <w:r w:rsidR="009E46C2" w:rsidRPr="006A6CFC">
        <w:rPr>
          <w:b/>
        </w:rPr>
        <w:t>Reuse</w:t>
      </w:r>
      <w:r w:rsidRPr="006A6CFC">
        <w:rPr>
          <w:b/>
        </w:rPr>
        <w:t xml:space="preserve"> the Rel-15 UE-based (P-MPR) control as baseline for Rel-16 and ensure the PC2 HPUE in the FDD+TDD EN-DC implementation </w:t>
      </w:r>
    </w:p>
    <w:p w14:paraId="327870D0" w14:textId="77777777" w:rsidR="009E46C2" w:rsidRPr="006A6CFC" w:rsidRDefault="009E46C2" w:rsidP="006A6CFC">
      <w:pPr>
        <w:pStyle w:val="NoSpacing"/>
        <w:rPr>
          <w:b/>
        </w:rPr>
      </w:pPr>
    </w:p>
    <w:p w14:paraId="44245170" w14:textId="6C22F62F" w:rsidR="00BD497B" w:rsidRPr="0057105D" w:rsidRDefault="00BD497B" w:rsidP="00BD497B">
      <w:pPr>
        <w:pStyle w:val="NoSpacing"/>
        <w:rPr>
          <w:b/>
        </w:rPr>
      </w:pPr>
      <w:r w:rsidRPr="0057105D">
        <w:rPr>
          <w:b/>
          <w:bCs/>
        </w:rPr>
        <w:t xml:space="preserve">Proposal </w:t>
      </w:r>
      <w:r>
        <w:rPr>
          <w:b/>
          <w:bCs/>
        </w:rPr>
        <w:t>2</w:t>
      </w:r>
      <w:r w:rsidRPr="0057105D">
        <w:rPr>
          <w:b/>
          <w:bCs/>
        </w:rPr>
        <w:t xml:space="preserve">: </w:t>
      </w:r>
      <w:r w:rsidR="00954886">
        <w:rPr>
          <w:b/>
          <w:bCs/>
        </w:rPr>
        <w:t xml:space="preserve">Take </w:t>
      </w:r>
      <w:r w:rsidR="00954886" w:rsidRPr="0057105D">
        <w:rPr>
          <w:b/>
          <w:bCs/>
        </w:rPr>
        <w:t xml:space="preserve">operators’ </w:t>
      </w:r>
      <w:r w:rsidR="00954886" w:rsidRPr="0057105D">
        <w:rPr>
          <w:b/>
        </w:rPr>
        <w:t xml:space="preserve">P-MPR based </w:t>
      </w:r>
      <w:r w:rsidR="00E23282">
        <w:rPr>
          <w:b/>
        </w:rPr>
        <w:t xml:space="preserve">PC2 </w:t>
      </w:r>
      <w:r w:rsidR="00954886" w:rsidRPr="0057105D">
        <w:rPr>
          <w:b/>
        </w:rPr>
        <w:t>requirement</w:t>
      </w:r>
      <w:r w:rsidR="00954886">
        <w:rPr>
          <w:b/>
        </w:rPr>
        <w:t>s</w:t>
      </w:r>
      <w:r w:rsidR="00954886" w:rsidRPr="0057105D">
        <w:rPr>
          <w:b/>
        </w:rPr>
        <w:t xml:space="preserve"> in </w:t>
      </w:r>
      <w:r w:rsidR="00954886">
        <w:rPr>
          <w:b/>
        </w:rPr>
        <w:t xml:space="preserve">decision of Rel-16 for deployment </w:t>
      </w:r>
      <w:r w:rsidR="00954886" w:rsidRPr="0057105D">
        <w:rPr>
          <w:b/>
        </w:rPr>
        <w:t xml:space="preserve">  </w:t>
      </w:r>
    </w:p>
    <w:p w14:paraId="40551F90" w14:textId="77777777" w:rsidR="00BD497B" w:rsidRDefault="00BD497B" w:rsidP="006A6CFC">
      <w:pPr>
        <w:pStyle w:val="NoSpacing"/>
        <w:rPr>
          <w:b/>
        </w:rPr>
      </w:pPr>
    </w:p>
    <w:p w14:paraId="518CB088" w14:textId="45D955E1" w:rsidR="009E46C2" w:rsidRDefault="00BD497B" w:rsidP="006A6CFC">
      <w:pPr>
        <w:pStyle w:val="NoSpacing"/>
        <w:rPr>
          <w:b/>
        </w:rPr>
      </w:pPr>
      <w:r>
        <w:rPr>
          <w:b/>
        </w:rPr>
        <w:t>Proposal 3</w:t>
      </w:r>
      <w:r w:rsidR="009E46C2" w:rsidRPr="006A6CFC">
        <w:rPr>
          <w:b/>
        </w:rPr>
        <w:t xml:space="preserve">: </w:t>
      </w:r>
      <w:r w:rsidR="009E6526">
        <w:rPr>
          <w:b/>
        </w:rPr>
        <w:t>Whether other possible options(s) should be studied in Rel-17 should be discussed as part of the Rel-17 RF package in RAN.</w:t>
      </w:r>
    </w:p>
    <w:p w14:paraId="40A0A0E7" w14:textId="77777777" w:rsidR="00E92A26" w:rsidRDefault="00E92A26" w:rsidP="006A6CFC">
      <w:pPr>
        <w:pStyle w:val="NoSpacing"/>
        <w:rPr>
          <w:b/>
        </w:rPr>
      </w:pPr>
    </w:p>
    <w:p w14:paraId="6D49A3D1" w14:textId="77777777" w:rsidR="00E92A26" w:rsidRPr="006A6CFC" w:rsidRDefault="00E92A26" w:rsidP="006A6CFC">
      <w:pPr>
        <w:pStyle w:val="NoSpacing"/>
        <w:rPr>
          <w:b/>
        </w:rPr>
      </w:pPr>
    </w:p>
    <w:p w14:paraId="1D5D2A80" w14:textId="77777777" w:rsidR="00E44D63" w:rsidRPr="00596F47" w:rsidRDefault="00E44D63" w:rsidP="006B006C">
      <w:pPr>
        <w:pStyle w:val="NoSpacing"/>
      </w:pPr>
      <w:r w:rsidRPr="00596F47">
        <w:t> </w:t>
      </w:r>
    </w:p>
    <w:p w14:paraId="1A3422DB" w14:textId="77777777" w:rsidR="006A6CFC" w:rsidRDefault="00E44D63" w:rsidP="006A6CFC">
      <w:pPr>
        <w:pStyle w:val="NoSpacing"/>
      </w:pPr>
      <w:r w:rsidRPr="00596F47">
        <w:t> </w:t>
      </w:r>
    </w:p>
    <w:p w14:paraId="5D29E16E" w14:textId="77777777" w:rsidR="00E44D63" w:rsidRPr="00596F47" w:rsidRDefault="00E44D63" w:rsidP="006A6CFC">
      <w:pPr>
        <w:pStyle w:val="NoSpacing"/>
        <w:rPr>
          <w:rFonts w:ascii="Arial" w:hAnsi="Arial" w:cs="Arial"/>
        </w:rPr>
      </w:pPr>
      <w:r w:rsidRPr="00596F47">
        <w:rPr>
          <w:rFonts w:ascii="Arial" w:hAnsi="Arial" w:cs="Arial"/>
          <w:sz w:val="28"/>
          <w:szCs w:val="28"/>
        </w:rPr>
        <w:t>3.</w:t>
      </w:r>
      <w:r w:rsidRPr="00596F47">
        <w:rPr>
          <w:rFonts w:ascii="Arial" w:hAnsi="Arial" w:cs="Arial"/>
          <w:b/>
          <w:bCs/>
          <w:sz w:val="14"/>
          <w:szCs w:val="14"/>
        </w:rPr>
        <w:t xml:space="preserve">   </w:t>
      </w:r>
      <w:r w:rsidRPr="00596F47">
        <w:rPr>
          <w:rFonts w:ascii="Arial" w:hAnsi="Arial" w:cs="Arial"/>
          <w:sz w:val="28"/>
          <w:szCs w:val="28"/>
        </w:rPr>
        <w:t>Proposal</w:t>
      </w:r>
    </w:p>
    <w:p w14:paraId="2ABA29CE" w14:textId="03D29399" w:rsidR="00E44D63" w:rsidRPr="00596F47" w:rsidRDefault="00E44D63" w:rsidP="00F81E4D">
      <w:pPr>
        <w:pStyle w:val="NoSpacing"/>
      </w:pPr>
      <w:r w:rsidRPr="00596F47">
        <w:t xml:space="preserve">For RAN4 effectively defining the feature requirement of PC2 UE for FDD+TDD EN-DC in Rel-16 and avoiding further possible delay, we have </w:t>
      </w:r>
      <w:bookmarkStart w:id="0" w:name="_GoBack"/>
      <w:bookmarkEnd w:id="0"/>
      <w:r w:rsidRPr="00596F47">
        <w:t>following proposals,</w:t>
      </w:r>
    </w:p>
    <w:p w14:paraId="42E28C71" w14:textId="77777777" w:rsidR="00E44D63" w:rsidRPr="00596F47" w:rsidRDefault="00E44D63" w:rsidP="00F81E4D">
      <w:pPr>
        <w:pStyle w:val="NoSpacing"/>
      </w:pPr>
      <w:r w:rsidRPr="00596F47">
        <w:t> </w:t>
      </w:r>
    </w:p>
    <w:p w14:paraId="0832A545" w14:textId="77777777" w:rsidR="00E44D63" w:rsidRPr="00596F47" w:rsidRDefault="00E44D63" w:rsidP="00F81E4D">
      <w:pPr>
        <w:pStyle w:val="NoSpacing"/>
      </w:pPr>
      <w:r w:rsidRPr="00596F47">
        <w:rPr>
          <w:b/>
          <w:bCs/>
        </w:rPr>
        <w:t xml:space="preserve">Proposal 1: Consider the Rel-15 UE-based (P-MPR) control as baseline for Rel-16 and ensure the PC2 </w:t>
      </w:r>
      <w:r w:rsidR="0018526B">
        <w:rPr>
          <w:b/>
          <w:bCs/>
        </w:rPr>
        <w:t>HPUE</w:t>
      </w:r>
      <w:r w:rsidRPr="00596F47">
        <w:rPr>
          <w:b/>
          <w:bCs/>
        </w:rPr>
        <w:t xml:space="preserve"> in the FDD+TDD EN-DC implementation </w:t>
      </w:r>
    </w:p>
    <w:p w14:paraId="19FAEFDB" w14:textId="77777777" w:rsidR="00E44D63" w:rsidRDefault="00E44D63" w:rsidP="00F81E4D">
      <w:pPr>
        <w:pStyle w:val="NoSpacing"/>
      </w:pPr>
      <w:r w:rsidRPr="00596F47">
        <w:t> </w:t>
      </w:r>
    </w:p>
    <w:p w14:paraId="47638AD3" w14:textId="3E651892" w:rsidR="00C51118" w:rsidRDefault="00563A3F" w:rsidP="00F81E4D">
      <w:pPr>
        <w:pStyle w:val="NoSpacing"/>
      </w:pPr>
      <w:r>
        <w:t xml:space="preserve">There are </w:t>
      </w:r>
      <w:r w:rsidR="00C51118" w:rsidRPr="0096069A">
        <w:t xml:space="preserve">two correlated </w:t>
      </w:r>
      <w:r>
        <w:t xml:space="preserve">PC2 </w:t>
      </w:r>
      <w:r w:rsidR="00C51118" w:rsidRPr="0096069A">
        <w:t>contributions</w:t>
      </w:r>
      <w:r w:rsidR="00C51118">
        <w:t xml:space="preserve"> (both </w:t>
      </w:r>
      <w:r w:rsidR="00C51118" w:rsidRPr="0096069A">
        <w:t>R4-2010297 and R4-2010299</w:t>
      </w:r>
      <w:r w:rsidR="00C51118">
        <w:t>)</w:t>
      </w:r>
      <w:r w:rsidR="00C51118" w:rsidRPr="0096069A">
        <w:t xml:space="preserve"> </w:t>
      </w:r>
      <w:r w:rsidR="00C51118">
        <w:rPr>
          <w:rFonts w:eastAsia="MS Mincho"/>
        </w:rPr>
        <w:t xml:space="preserve">for </w:t>
      </w:r>
      <w:r w:rsidR="00C51118" w:rsidRPr="0008137A">
        <w:t>TR 38.717-02-01</w:t>
      </w:r>
      <w:r>
        <w:t xml:space="preserve"> for a quick RAN4 </w:t>
      </w:r>
      <w:r w:rsidR="00C51118">
        <w:t>decision</w:t>
      </w:r>
    </w:p>
    <w:p w14:paraId="141525F7" w14:textId="77777777" w:rsidR="00C51118" w:rsidRPr="00596F47" w:rsidRDefault="00C51118" w:rsidP="00F81E4D">
      <w:pPr>
        <w:pStyle w:val="NoSpacing"/>
      </w:pPr>
    </w:p>
    <w:p w14:paraId="02523BDD" w14:textId="16887208" w:rsidR="0090671F" w:rsidRDefault="0090671F" w:rsidP="0090671F">
      <w:pPr>
        <w:pStyle w:val="NoSpacing"/>
        <w:rPr>
          <w:b/>
        </w:rPr>
      </w:pPr>
      <w:r w:rsidRPr="0057105D">
        <w:rPr>
          <w:b/>
          <w:bCs/>
        </w:rPr>
        <w:t xml:space="preserve">Proposal </w:t>
      </w:r>
      <w:r>
        <w:rPr>
          <w:b/>
          <w:bCs/>
        </w:rPr>
        <w:t>2</w:t>
      </w:r>
      <w:r w:rsidRPr="0057105D">
        <w:rPr>
          <w:b/>
          <w:bCs/>
        </w:rPr>
        <w:t xml:space="preserve">: </w:t>
      </w:r>
      <w:r>
        <w:rPr>
          <w:b/>
          <w:bCs/>
        </w:rPr>
        <w:t xml:space="preserve">Take </w:t>
      </w:r>
      <w:r w:rsidRPr="0057105D">
        <w:rPr>
          <w:b/>
          <w:bCs/>
        </w:rPr>
        <w:t xml:space="preserve">operators’ </w:t>
      </w:r>
      <w:r w:rsidRPr="0057105D">
        <w:rPr>
          <w:b/>
        </w:rPr>
        <w:t xml:space="preserve">P-MPR based </w:t>
      </w:r>
      <w:r w:rsidR="002D031D">
        <w:rPr>
          <w:b/>
        </w:rPr>
        <w:t xml:space="preserve">PC2 </w:t>
      </w:r>
      <w:r w:rsidRPr="0057105D">
        <w:rPr>
          <w:b/>
        </w:rPr>
        <w:t>requirement</w:t>
      </w:r>
      <w:r>
        <w:rPr>
          <w:b/>
        </w:rPr>
        <w:t>s</w:t>
      </w:r>
      <w:r w:rsidRPr="0057105D">
        <w:rPr>
          <w:b/>
        </w:rPr>
        <w:t xml:space="preserve"> in </w:t>
      </w:r>
      <w:r>
        <w:rPr>
          <w:b/>
        </w:rPr>
        <w:t xml:space="preserve">decision of Rel-16 for deployment </w:t>
      </w:r>
      <w:r w:rsidRPr="0057105D">
        <w:rPr>
          <w:b/>
        </w:rPr>
        <w:t xml:space="preserve">  </w:t>
      </w:r>
    </w:p>
    <w:p w14:paraId="27CF3F30" w14:textId="77777777" w:rsidR="0090671F" w:rsidRPr="0057105D" w:rsidRDefault="0090671F" w:rsidP="0090671F">
      <w:pPr>
        <w:pStyle w:val="NoSpacing"/>
        <w:rPr>
          <w:b/>
        </w:rPr>
      </w:pPr>
    </w:p>
    <w:p w14:paraId="38662511" w14:textId="78B5F494" w:rsidR="00B44C4B" w:rsidRDefault="00E44D63" w:rsidP="00F81E4D">
      <w:pPr>
        <w:pStyle w:val="NoSpacing"/>
        <w:rPr>
          <w:b/>
          <w:bCs/>
        </w:rPr>
      </w:pPr>
      <w:r w:rsidRPr="00596F47">
        <w:rPr>
          <w:b/>
          <w:bCs/>
        </w:rPr>
        <w:t xml:space="preserve">Proposal </w:t>
      </w:r>
      <w:r w:rsidR="0090671F">
        <w:rPr>
          <w:b/>
          <w:bCs/>
        </w:rPr>
        <w:t>3</w:t>
      </w:r>
      <w:r w:rsidRPr="00596F47">
        <w:rPr>
          <w:b/>
          <w:bCs/>
        </w:rPr>
        <w:t xml:space="preserve">: </w:t>
      </w:r>
      <w:r w:rsidR="001833D6">
        <w:rPr>
          <w:b/>
        </w:rPr>
        <w:t>Whether other possible options(s) should be studied in Rel-17 should be discussed as part of the Rel-17 RF package in RAN.</w:t>
      </w:r>
    </w:p>
    <w:p w14:paraId="38BBEEC0" w14:textId="77777777" w:rsidR="00E80F96" w:rsidRDefault="00E80F96" w:rsidP="00F81E4D">
      <w:pPr>
        <w:pStyle w:val="NoSpacing"/>
      </w:pPr>
    </w:p>
    <w:p w14:paraId="50AFE737" w14:textId="2F18E038" w:rsidR="00830197" w:rsidRDefault="0096069A" w:rsidP="00830197">
      <w:pPr>
        <w:pStyle w:val="NoSpacing"/>
      </w:pPr>
      <w:r w:rsidRPr="0096069A">
        <w:t xml:space="preserve">We </w:t>
      </w:r>
      <w:r w:rsidR="00743348">
        <w:t xml:space="preserve">would </w:t>
      </w:r>
      <w:r w:rsidRPr="0096069A">
        <w:t xml:space="preserve">ask </w:t>
      </w:r>
      <w:r w:rsidR="00960DEB">
        <w:t>RAN4</w:t>
      </w:r>
      <w:r w:rsidR="00A976AC">
        <w:t xml:space="preserve"> to</w:t>
      </w:r>
      <w:r w:rsidRPr="0096069A">
        <w:t xml:space="preserve"> make a quick decision for this Rel-16 </w:t>
      </w:r>
      <w:r w:rsidR="00A976AC">
        <w:t xml:space="preserve">feature </w:t>
      </w:r>
      <w:r w:rsidRPr="0096069A">
        <w:t>and meet the operators’ urgent deployment plans.</w:t>
      </w:r>
    </w:p>
    <w:p w14:paraId="24A79B4C" w14:textId="77777777" w:rsidR="00830197" w:rsidRDefault="00830197" w:rsidP="00830197">
      <w:pPr>
        <w:pStyle w:val="NoSpacing"/>
      </w:pPr>
    </w:p>
    <w:p w14:paraId="4CFD846E" w14:textId="77777777" w:rsidR="00830197" w:rsidRDefault="00830197" w:rsidP="00830197">
      <w:pPr>
        <w:pStyle w:val="NoSpacing"/>
      </w:pPr>
    </w:p>
    <w:p w14:paraId="609A2348" w14:textId="074607D8" w:rsidR="00570C9F" w:rsidRPr="00596F47" w:rsidRDefault="00570C9F" w:rsidP="00830197">
      <w:pPr>
        <w:pStyle w:val="NoSpacing"/>
        <w:rPr>
          <w:rFonts w:ascii="Arial" w:eastAsia="MS Mincho" w:hAnsi="Arial" w:cs="Arial"/>
          <w:b/>
          <w:sz w:val="28"/>
          <w:szCs w:val="28"/>
        </w:rPr>
      </w:pPr>
      <w:r w:rsidRPr="00596F47">
        <w:rPr>
          <w:rFonts w:ascii="Arial" w:eastAsia="MS Mincho" w:hAnsi="Arial" w:cs="Arial"/>
          <w:b/>
          <w:sz w:val="28"/>
          <w:szCs w:val="28"/>
        </w:rPr>
        <w:t xml:space="preserve">Reference </w:t>
      </w:r>
    </w:p>
    <w:p w14:paraId="144870BA" w14:textId="77777777" w:rsidR="00F15D50" w:rsidRPr="00E126E7" w:rsidRDefault="00570C9F" w:rsidP="00E126E7">
      <w:pPr>
        <w:pStyle w:val="NoSpacing"/>
      </w:pPr>
      <w:r w:rsidRPr="00E126E7">
        <w:t xml:space="preserve">[1] </w:t>
      </w:r>
      <w:r w:rsidRPr="00E126E7">
        <w:tab/>
      </w:r>
      <w:r w:rsidR="00F15D50" w:rsidRPr="00E126E7">
        <w:t>RP- 200995, Rel-16 Work Item Exception for ENDC_UE_PC2_FDD_TDD, China Unicom</w:t>
      </w:r>
    </w:p>
    <w:p w14:paraId="3A1954CE" w14:textId="77777777" w:rsidR="00F15D50" w:rsidRDefault="00F15D50" w:rsidP="007E1B18">
      <w:pPr>
        <w:pStyle w:val="NoSpacing"/>
        <w:ind w:left="720" w:hanging="720"/>
        <w:rPr>
          <w:rFonts w:ascii="Arial" w:hAnsi="Arial" w:cs="Arial"/>
          <w:lang w:eastAsia="zh-CN"/>
        </w:rPr>
      </w:pPr>
    </w:p>
    <w:p w14:paraId="78D73661" w14:textId="77777777" w:rsidR="00F15D50" w:rsidRDefault="00F15D50" w:rsidP="007E1B18">
      <w:pPr>
        <w:pStyle w:val="NoSpacing"/>
        <w:ind w:left="720" w:hanging="720"/>
        <w:rPr>
          <w:rFonts w:ascii="Arial" w:hAnsi="Arial" w:cs="Arial"/>
          <w:lang w:eastAsia="zh-CN"/>
        </w:rPr>
      </w:pPr>
    </w:p>
    <w:p w14:paraId="734E1561" w14:textId="77777777" w:rsidR="00877FA0" w:rsidRPr="00596F47" w:rsidRDefault="00877FA0">
      <w:pPr>
        <w:rPr>
          <w:rFonts w:ascii="Arial" w:hAnsi="Arial" w:cs="Arial"/>
        </w:rPr>
      </w:pPr>
    </w:p>
    <w:sectPr w:rsidR="00877FA0" w:rsidRPr="00596F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6683B"/>
    <w:multiLevelType w:val="hybridMultilevel"/>
    <w:tmpl w:val="9FCE25FC"/>
    <w:lvl w:ilvl="0" w:tplc="67B2A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867B48"/>
    <w:multiLevelType w:val="hybridMultilevel"/>
    <w:tmpl w:val="81F2802A"/>
    <w:lvl w:ilvl="0" w:tplc="8E1ADD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AF82D2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3BA01CC"/>
    <w:multiLevelType w:val="multilevel"/>
    <w:tmpl w:val="2E56E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A77400E"/>
    <w:multiLevelType w:val="multilevel"/>
    <w:tmpl w:val="11624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74C1EB3"/>
    <w:multiLevelType w:val="hybridMultilevel"/>
    <w:tmpl w:val="982EA076"/>
    <w:lvl w:ilvl="0" w:tplc="8E1ADD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0"/>
  </w:num>
  <w:num w:numId="3">
    <w:abstractNumId w:val="5"/>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A0"/>
    <w:rsid w:val="000358D2"/>
    <w:rsid w:val="000449D4"/>
    <w:rsid w:val="0004736E"/>
    <w:rsid w:val="000477E2"/>
    <w:rsid w:val="00071045"/>
    <w:rsid w:val="00074484"/>
    <w:rsid w:val="00083A9F"/>
    <w:rsid w:val="000E06F5"/>
    <w:rsid w:val="000E1598"/>
    <w:rsid w:val="000E61D3"/>
    <w:rsid w:val="00100F2D"/>
    <w:rsid w:val="00121E2D"/>
    <w:rsid w:val="0012212D"/>
    <w:rsid w:val="00144D7C"/>
    <w:rsid w:val="00147445"/>
    <w:rsid w:val="00153EE9"/>
    <w:rsid w:val="00182547"/>
    <w:rsid w:val="001833D6"/>
    <w:rsid w:val="0018526B"/>
    <w:rsid w:val="00191892"/>
    <w:rsid w:val="001A7978"/>
    <w:rsid w:val="001D0591"/>
    <w:rsid w:val="001D7952"/>
    <w:rsid w:val="0020127C"/>
    <w:rsid w:val="002116BB"/>
    <w:rsid w:val="00241C94"/>
    <w:rsid w:val="002547C0"/>
    <w:rsid w:val="00263129"/>
    <w:rsid w:val="002750BC"/>
    <w:rsid w:val="002750C6"/>
    <w:rsid w:val="002A46D2"/>
    <w:rsid w:val="002A6527"/>
    <w:rsid w:val="002D031D"/>
    <w:rsid w:val="002D4EE4"/>
    <w:rsid w:val="002F2D48"/>
    <w:rsid w:val="0030481F"/>
    <w:rsid w:val="00343C72"/>
    <w:rsid w:val="003472A5"/>
    <w:rsid w:val="00367782"/>
    <w:rsid w:val="00385C6D"/>
    <w:rsid w:val="003A32E8"/>
    <w:rsid w:val="003A6AAA"/>
    <w:rsid w:val="003C1CB6"/>
    <w:rsid w:val="003C2903"/>
    <w:rsid w:val="003C59D2"/>
    <w:rsid w:val="003D186D"/>
    <w:rsid w:val="003D2E26"/>
    <w:rsid w:val="003F1455"/>
    <w:rsid w:val="004044E8"/>
    <w:rsid w:val="00410398"/>
    <w:rsid w:val="00426A3D"/>
    <w:rsid w:val="00430C87"/>
    <w:rsid w:val="0044305A"/>
    <w:rsid w:val="00460E69"/>
    <w:rsid w:val="00471209"/>
    <w:rsid w:val="00481565"/>
    <w:rsid w:val="00491729"/>
    <w:rsid w:val="00495765"/>
    <w:rsid w:val="004A2F00"/>
    <w:rsid w:val="004B00F3"/>
    <w:rsid w:val="004D331D"/>
    <w:rsid w:val="004E2122"/>
    <w:rsid w:val="004F508A"/>
    <w:rsid w:val="00506B43"/>
    <w:rsid w:val="00541395"/>
    <w:rsid w:val="005545C5"/>
    <w:rsid w:val="00563A3F"/>
    <w:rsid w:val="00563E05"/>
    <w:rsid w:val="00570C9F"/>
    <w:rsid w:val="0057105D"/>
    <w:rsid w:val="00575471"/>
    <w:rsid w:val="00596F47"/>
    <w:rsid w:val="005D1664"/>
    <w:rsid w:val="005D2287"/>
    <w:rsid w:val="005F4361"/>
    <w:rsid w:val="00617DD7"/>
    <w:rsid w:val="00625162"/>
    <w:rsid w:val="006540B3"/>
    <w:rsid w:val="00657DA0"/>
    <w:rsid w:val="0066665C"/>
    <w:rsid w:val="00673B35"/>
    <w:rsid w:val="00693914"/>
    <w:rsid w:val="006A246E"/>
    <w:rsid w:val="006A6CFC"/>
    <w:rsid w:val="006B006C"/>
    <w:rsid w:val="006B79DD"/>
    <w:rsid w:val="006D4E2B"/>
    <w:rsid w:val="006E6B5D"/>
    <w:rsid w:val="006F761D"/>
    <w:rsid w:val="00716938"/>
    <w:rsid w:val="00743348"/>
    <w:rsid w:val="007668DB"/>
    <w:rsid w:val="007A6AB1"/>
    <w:rsid w:val="007B1047"/>
    <w:rsid w:val="007B1391"/>
    <w:rsid w:val="007B2D28"/>
    <w:rsid w:val="007E1B18"/>
    <w:rsid w:val="0081416B"/>
    <w:rsid w:val="00830197"/>
    <w:rsid w:val="0083357E"/>
    <w:rsid w:val="0085000B"/>
    <w:rsid w:val="0085399B"/>
    <w:rsid w:val="008642E2"/>
    <w:rsid w:val="00877FA0"/>
    <w:rsid w:val="00891C77"/>
    <w:rsid w:val="008B63E0"/>
    <w:rsid w:val="008B7604"/>
    <w:rsid w:val="008C1528"/>
    <w:rsid w:val="008C6758"/>
    <w:rsid w:val="008D266C"/>
    <w:rsid w:val="008D2CEB"/>
    <w:rsid w:val="008D3824"/>
    <w:rsid w:val="008D433F"/>
    <w:rsid w:val="008E0D30"/>
    <w:rsid w:val="008E2C9E"/>
    <w:rsid w:val="008F22EA"/>
    <w:rsid w:val="008F2ECC"/>
    <w:rsid w:val="008F7C7E"/>
    <w:rsid w:val="00902983"/>
    <w:rsid w:val="0090671F"/>
    <w:rsid w:val="00911FDF"/>
    <w:rsid w:val="009337A4"/>
    <w:rsid w:val="00937C69"/>
    <w:rsid w:val="0094754F"/>
    <w:rsid w:val="00954886"/>
    <w:rsid w:val="00957AF4"/>
    <w:rsid w:val="0096069A"/>
    <w:rsid w:val="00960DEB"/>
    <w:rsid w:val="009646C6"/>
    <w:rsid w:val="009828BB"/>
    <w:rsid w:val="00987C6A"/>
    <w:rsid w:val="0099062A"/>
    <w:rsid w:val="009B4A97"/>
    <w:rsid w:val="009B7757"/>
    <w:rsid w:val="009D54E4"/>
    <w:rsid w:val="009E46C2"/>
    <w:rsid w:val="009E5038"/>
    <w:rsid w:val="009E6526"/>
    <w:rsid w:val="009F68FA"/>
    <w:rsid w:val="00A27B64"/>
    <w:rsid w:val="00A27F7A"/>
    <w:rsid w:val="00A4062C"/>
    <w:rsid w:val="00A43B54"/>
    <w:rsid w:val="00A54CA3"/>
    <w:rsid w:val="00A55013"/>
    <w:rsid w:val="00A62418"/>
    <w:rsid w:val="00A82EE3"/>
    <w:rsid w:val="00A976AC"/>
    <w:rsid w:val="00AA3CF6"/>
    <w:rsid w:val="00AB529A"/>
    <w:rsid w:val="00AC513E"/>
    <w:rsid w:val="00AF62C3"/>
    <w:rsid w:val="00B10883"/>
    <w:rsid w:val="00B27D70"/>
    <w:rsid w:val="00B37E7C"/>
    <w:rsid w:val="00B44C4B"/>
    <w:rsid w:val="00B757F0"/>
    <w:rsid w:val="00B83874"/>
    <w:rsid w:val="00B95C31"/>
    <w:rsid w:val="00B97595"/>
    <w:rsid w:val="00BA3EEE"/>
    <w:rsid w:val="00BB0F13"/>
    <w:rsid w:val="00BB13E0"/>
    <w:rsid w:val="00BC0EB9"/>
    <w:rsid w:val="00BC1A2D"/>
    <w:rsid w:val="00BD497B"/>
    <w:rsid w:val="00C172A2"/>
    <w:rsid w:val="00C22445"/>
    <w:rsid w:val="00C27078"/>
    <w:rsid w:val="00C27245"/>
    <w:rsid w:val="00C340AC"/>
    <w:rsid w:val="00C4510F"/>
    <w:rsid w:val="00C51118"/>
    <w:rsid w:val="00C61063"/>
    <w:rsid w:val="00C6187B"/>
    <w:rsid w:val="00C62BAD"/>
    <w:rsid w:val="00C760D7"/>
    <w:rsid w:val="00C97474"/>
    <w:rsid w:val="00C97A5A"/>
    <w:rsid w:val="00CB15CB"/>
    <w:rsid w:val="00CB3F45"/>
    <w:rsid w:val="00CE0BFE"/>
    <w:rsid w:val="00CE5071"/>
    <w:rsid w:val="00D01EF4"/>
    <w:rsid w:val="00D54288"/>
    <w:rsid w:val="00D551BF"/>
    <w:rsid w:val="00D5524C"/>
    <w:rsid w:val="00D639FA"/>
    <w:rsid w:val="00D835A3"/>
    <w:rsid w:val="00DF0D16"/>
    <w:rsid w:val="00E0669B"/>
    <w:rsid w:val="00E126E7"/>
    <w:rsid w:val="00E23282"/>
    <w:rsid w:val="00E250CE"/>
    <w:rsid w:val="00E333F4"/>
    <w:rsid w:val="00E340A5"/>
    <w:rsid w:val="00E340C2"/>
    <w:rsid w:val="00E44D63"/>
    <w:rsid w:val="00E62327"/>
    <w:rsid w:val="00E73609"/>
    <w:rsid w:val="00E80F96"/>
    <w:rsid w:val="00E92A26"/>
    <w:rsid w:val="00E92CC7"/>
    <w:rsid w:val="00EB0BE0"/>
    <w:rsid w:val="00EB1DF3"/>
    <w:rsid w:val="00EC1D04"/>
    <w:rsid w:val="00ED3757"/>
    <w:rsid w:val="00ED6318"/>
    <w:rsid w:val="00ED6503"/>
    <w:rsid w:val="00EE6208"/>
    <w:rsid w:val="00EF0284"/>
    <w:rsid w:val="00EF3214"/>
    <w:rsid w:val="00EF77F3"/>
    <w:rsid w:val="00F00E6A"/>
    <w:rsid w:val="00F04D6E"/>
    <w:rsid w:val="00F06F6D"/>
    <w:rsid w:val="00F10AF8"/>
    <w:rsid w:val="00F118C3"/>
    <w:rsid w:val="00F15D50"/>
    <w:rsid w:val="00F2135A"/>
    <w:rsid w:val="00F32CF2"/>
    <w:rsid w:val="00F33041"/>
    <w:rsid w:val="00F33A16"/>
    <w:rsid w:val="00F466F7"/>
    <w:rsid w:val="00F5384A"/>
    <w:rsid w:val="00F56452"/>
    <w:rsid w:val="00F70AE2"/>
    <w:rsid w:val="00F7587E"/>
    <w:rsid w:val="00F81E4D"/>
    <w:rsid w:val="00F84FB4"/>
    <w:rsid w:val="00F87D63"/>
    <w:rsid w:val="00FB456A"/>
    <w:rsid w:val="00FD360C"/>
    <w:rsid w:val="00FE5BA2"/>
    <w:rsid w:val="00FF1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B01C3"/>
  <w15:chartTrackingRefBased/>
  <w15:docId w15:val="{32AE2B38-DB41-4D4B-907D-94E77BA3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FA0"/>
    <w:pPr>
      <w:spacing w:after="180" w:line="240" w:lineRule="auto"/>
    </w:pPr>
    <w:rPr>
      <w:rFonts w:ascii="Times New Roman" w:eastAsia="SimSun" w:hAnsi="Times New Roman" w:cs="Times New Roman"/>
      <w:sz w:val="20"/>
      <w:szCs w:val="20"/>
      <w:lang w:val="en-GB" w:eastAsia="ko-KR"/>
    </w:rPr>
  </w:style>
  <w:style w:type="paragraph" w:styleId="Heading1">
    <w:name w:val="heading 1"/>
    <w:basedOn w:val="Normal"/>
    <w:next w:val="Normal"/>
    <w:link w:val="Heading1Char"/>
    <w:uiPriority w:val="9"/>
    <w:qFormat/>
    <w:rsid w:val="00570C9F"/>
    <w:pPr>
      <w:keepNext/>
      <w:keepLines/>
      <w:spacing w:before="240" w:after="0"/>
      <w:outlineLvl w:val="0"/>
    </w:pPr>
    <w:rPr>
      <w:rFonts w:asciiTheme="majorHAnsi" w:eastAsiaTheme="majorEastAsia" w:hAnsiTheme="majorHAnsi" w:cstheme="majorBidi"/>
      <w:color w:val="2E74B5" w:themeColor="accent1" w:themeShade="BF"/>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0C9F"/>
    <w:rPr>
      <w:rFonts w:asciiTheme="majorHAnsi" w:eastAsiaTheme="majorEastAsia" w:hAnsiTheme="majorHAnsi" w:cstheme="majorBidi"/>
      <w:color w:val="2E74B5" w:themeColor="accent1" w:themeShade="BF"/>
      <w:sz w:val="32"/>
      <w:szCs w:val="32"/>
    </w:rPr>
  </w:style>
  <w:style w:type="paragraph" w:styleId="NoSpacing">
    <w:name w:val="No Spacing"/>
    <w:link w:val="NoSpacingChar"/>
    <w:uiPriority w:val="1"/>
    <w:qFormat/>
    <w:rsid w:val="00570C9F"/>
    <w:pPr>
      <w:spacing w:after="0" w:line="240" w:lineRule="auto"/>
    </w:pPr>
    <w:rPr>
      <w:rFonts w:ascii="Times New Roman" w:eastAsia="SimSun" w:hAnsi="Times New Roman" w:cs="Times New Roman"/>
      <w:sz w:val="20"/>
      <w:szCs w:val="20"/>
      <w:lang w:val="en-GB" w:eastAsia="ko-KR"/>
    </w:rPr>
  </w:style>
  <w:style w:type="paragraph" w:styleId="Index1">
    <w:name w:val="index 1"/>
    <w:basedOn w:val="Normal"/>
    <w:semiHidden/>
    <w:rsid w:val="00570C9F"/>
    <w:pPr>
      <w:keepLines/>
      <w:overflowPunct w:val="0"/>
      <w:autoSpaceDE w:val="0"/>
      <w:autoSpaceDN w:val="0"/>
      <w:adjustRightInd w:val="0"/>
      <w:spacing w:after="0"/>
      <w:textAlignment w:val="baseline"/>
    </w:pPr>
    <w:rPr>
      <w:rFonts w:eastAsia="DengXian"/>
      <w:lang w:eastAsia="en-GB"/>
    </w:rPr>
  </w:style>
  <w:style w:type="paragraph" w:customStyle="1" w:styleId="gmail-msonospacing">
    <w:name w:val="gmail-msonospacing"/>
    <w:basedOn w:val="Normal"/>
    <w:rsid w:val="00E44D63"/>
    <w:pPr>
      <w:spacing w:before="100" w:beforeAutospacing="1" w:after="100" w:afterAutospacing="1"/>
    </w:pPr>
    <w:rPr>
      <w:rFonts w:eastAsia="Times New Roman"/>
      <w:sz w:val="24"/>
      <w:szCs w:val="24"/>
      <w:lang w:val="en-US" w:eastAsia="en-US"/>
    </w:rPr>
  </w:style>
  <w:style w:type="paragraph" w:customStyle="1" w:styleId="gmail-msoindex1">
    <w:name w:val="gmail-msoindex1"/>
    <w:basedOn w:val="Normal"/>
    <w:rsid w:val="00E44D63"/>
    <w:pPr>
      <w:spacing w:before="100" w:beforeAutospacing="1" w:after="100" w:afterAutospacing="1"/>
    </w:pPr>
    <w:rPr>
      <w:rFonts w:eastAsia="Times New Roman"/>
      <w:sz w:val="24"/>
      <w:szCs w:val="24"/>
      <w:lang w:val="en-US"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7360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3609"/>
    <w:rPr>
      <w:rFonts w:ascii="Arial" w:eastAsiaTheme="minorEastAsia" w:hAnsi="Arial" w:cs="Times New Roman"/>
      <w:b/>
      <w:noProof/>
      <w:sz w:val="18"/>
      <w:szCs w:val="20"/>
      <w:lang w:val="en-GB"/>
    </w:rPr>
  </w:style>
  <w:style w:type="character" w:styleId="Emphasis">
    <w:name w:val="Emphasis"/>
    <w:basedOn w:val="DefaultParagraphFont"/>
    <w:uiPriority w:val="20"/>
    <w:qFormat/>
    <w:rsid w:val="00CB15CB"/>
    <w:rPr>
      <w:b/>
      <w:bCs/>
      <w:i w:val="0"/>
      <w:iCs w:val="0"/>
    </w:rPr>
  </w:style>
  <w:style w:type="character" w:customStyle="1" w:styleId="st1">
    <w:name w:val="st1"/>
    <w:basedOn w:val="DefaultParagraphFont"/>
    <w:rsid w:val="00CB15CB"/>
  </w:style>
  <w:style w:type="character" w:customStyle="1" w:styleId="NoSpacingChar">
    <w:name w:val="No Spacing Char"/>
    <w:basedOn w:val="DefaultParagraphFont"/>
    <w:link w:val="NoSpacing"/>
    <w:uiPriority w:val="1"/>
    <w:locked/>
    <w:rsid w:val="004B00F3"/>
    <w:rPr>
      <w:rFonts w:ascii="Times New Roman" w:eastAsia="SimSun" w:hAnsi="Times New Roman" w:cs="Times New Roman"/>
      <w:sz w:val="20"/>
      <w:szCs w:val="20"/>
      <w:lang w:val="en-GB" w:eastAsia="ko-KR"/>
    </w:rPr>
  </w:style>
  <w:style w:type="character" w:customStyle="1" w:styleId="gmail-st1">
    <w:name w:val="gmail-st1"/>
    <w:basedOn w:val="DefaultParagraphFont"/>
    <w:rsid w:val="004B0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8825">
      <w:bodyDiv w:val="1"/>
      <w:marLeft w:val="0"/>
      <w:marRight w:val="0"/>
      <w:marTop w:val="0"/>
      <w:marBottom w:val="0"/>
      <w:divBdr>
        <w:top w:val="none" w:sz="0" w:space="0" w:color="auto"/>
        <w:left w:val="none" w:sz="0" w:space="0" w:color="auto"/>
        <w:bottom w:val="none" w:sz="0" w:space="0" w:color="auto"/>
        <w:right w:val="none" w:sz="0" w:space="0" w:color="auto"/>
      </w:divBdr>
    </w:div>
    <w:div w:id="671572330">
      <w:bodyDiv w:val="1"/>
      <w:marLeft w:val="0"/>
      <w:marRight w:val="0"/>
      <w:marTop w:val="0"/>
      <w:marBottom w:val="0"/>
      <w:divBdr>
        <w:top w:val="none" w:sz="0" w:space="0" w:color="auto"/>
        <w:left w:val="none" w:sz="0" w:space="0" w:color="auto"/>
        <w:bottom w:val="none" w:sz="0" w:space="0" w:color="auto"/>
        <w:right w:val="none" w:sz="0" w:space="0" w:color="auto"/>
      </w:divBdr>
    </w:div>
    <w:div w:id="675696206">
      <w:bodyDiv w:val="1"/>
      <w:marLeft w:val="0"/>
      <w:marRight w:val="0"/>
      <w:marTop w:val="0"/>
      <w:marBottom w:val="0"/>
      <w:divBdr>
        <w:top w:val="none" w:sz="0" w:space="0" w:color="auto"/>
        <w:left w:val="none" w:sz="0" w:space="0" w:color="auto"/>
        <w:bottom w:val="none" w:sz="0" w:space="0" w:color="auto"/>
        <w:right w:val="none" w:sz="0" w:space="0" w:color="auto"/>
      </w:divBdr>
      <w:divsChild>
        <w:div w:id="1864435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543484">
              <w:marLeft w:val="0"/>
              <w:marRight w:val="0"/>
              <w:marTop w:val="0"/>
              <w:marBottom w:val="0"/>
              <w:divBdr>
                <w:top w:val="none" w:sz="0" w:space="0" w:color="auto"/>
                <w:left w:val="none" w:sz="0" w:space="0" w:color="auto"/>
                <w:bottom w:val="none" w:sz="0" w:space="0" w:color="auto"/>
                <w:right w:val="none" w:sz="0" w:space="0" w:color="auto"/>
              </w:divBdr>
              <w:divsChild>
                <w:div w:id="1095327924">
                  <w:marLeft w:val="0"/>
                  <w:marRight w:val="0"/>
                  <w:marTop w:val="0"/>
                  <w:marBottom w:val="0"/>
                  <w:divBdr>
                    <w:top w:val="none" w:sz="0" w:space="0" w:color="auto"/>
                    <w:left w:val="none" w:sz="0" w:space="0" w:color="auto"/>
                    <w:bottom w:val="none" w:sz="0" w:space="0" w:color="auto"/>
                    <w:right w:val="none" w:sz="0" w:space="0" w:color="auto"/>
                  </w:divBdr>
                  <w:divsChild>
                    <w:div w:id="142117991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75135123">
                          <w:marLeft w:val="0"/>
                          <w:marRight w:val="0"/>
                          <w:marTop w:val="0"/>
                          <w:marBottom w:val="0"/>
                          <w:divBdr>
                            <w:top w:val="none" w:sz="0" w:space="0" w:color="auto"/>
                            <w:left w:val="none" w:sz="0" w:space="0" w:color="auto"/>
                            <w:bottom w:val="none" w:sz="0" w:space="0" w:color="auto"/>
                            <w:right w:val="none" w:sz="0" w:space="0" w:color="auto"/>
                          </w:divBdr>
                          <w:divsChild>
                            <w:div w:id="347563112">
                              <w:marLeft w:val="0"/>
                              <w:marRight w:val="0"/>
                              <w:marTop w:val="0"/>
                              <w:marBottom w:val="0"/>
                              <w:divBdr>
                                <w:top w:val="none" w:sz="0" w:space="0" w:color="auto"/>
                                <w:left w:val="none" w:sz="0" w:space="0" w:color="auto"/>
                                <w:bottom w:val="none" w:sz="0" w:space="0" w:color="auto"/>
                                <w:right w:val="none" w:sz="0" w:space="0" w:color="auto"/>
                              </w:divBdr>
                              <w:divsChild>
                                <w:div w:id="200974370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1229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4254934">
      <w:bodyDiv w:val="1"/>
      <w:marLeft w:val="0"/>
      <w:marRight w:val="0"/>
      <w:marTop w:val="0"/>
      <w:marBottom w:val="0"/>
      <w:divBdr>
        <w:top w:val="none" w:sz="0" w:space="0" w:color="auto"/>
        <w:left w:val="none" w:sz="0" w:space="0" w:color="auto"/>
        <w:bottom w:val="none" w:sz="0" w:space="0" w:color="auto"/>
        <w:right w:val="none" w:sz="0" w:space="0" w:color="auto"/>
      </w:divBdr>
    </w:div>
    <w:div w:id="860700245">
      <w:bodyDiv w:val="1"/>
      <w:marLeft w:val="0"/>
      <w:marRight w:val="0"/>
      <w:marTop w:val="0"/>
      <w:marBottom w:val="0"/>
      <w:divBdr>
        <w:top w:val="none" w:sz="0" w:space="0" w:color="auto"/>
        <w:left w:val="none" w:sz="0" w:space="0" w:color="auto"/>
        <w:bottom w:val="none" w:sz="0" w:space="0" w:color="auto"/>
        <w:right w:val="none" w:sz="0" w:space="0" w:color="auto"/>
      </w:divBdr>
      <w:divsChild>
        <w:div w:id="1279219916">
          <w:marLeft w:val="360"/>
          <w:marRight w:val="0"/>
          <w:marTop w:val="200"/>
          <w:marBottom w:val="0"/>
          <w:divBdr>
            <w:top w:val="none" w:sz="0" w:space="0" w:color="auto"/>
            <w:left w:val="none" w:sz="0" w:space="0" w:color="auto"/>
            <w:bottom w:val="none" w:sz="0" w:space="0" w:color="auto"/>
            <w:right w:val="none" w:sz="0" w:space="0" w:color="auto"/>
          </w:divBdr>
        </w:div>
      </w:divsChild>
    </w:div>
    <w:div w:id="1122923496">
      <w:bodyDiv w:val="1"/>
      <w:marLeft w:val="0"/>
      <w:marRight w:val="0"/>
      <w:marTop w:val="0"/>
      <w:marBottom w:val="0"/>
      <w:divBdr>
        <w:top w:val="none" w:sz="0" w:space="0" w:color="auto"/>
        <w:left w:val="none" w:sz="0" w:space="0" w:color="auto"/>
        <w:bottom w:val="none" w:sz="0" w:space="0" w:color="auto"/>
        <w:right w:val="none" w:sz="0" w:space="0" w:color="auto"/>
      </w:divBdr>
    </w:div>
    <w:div w:id="1234466193">
      <w:bodyDiv w:val="1"/>
      <w:marLeft w:val="0"/>
      <w:marRight w:val="0"/>
      <w:marTop w:val="0"/>
      <w:marBottom w:val="0"/>
      <w:divBdr>
        <w:top w:val="none" w:sz="0" w:space="0" w:color="auto"/>
        <w:left w:val="none" w:sz="0" w:space="0" w:color="auto"/>
        <w:bottom w:val="none" w:sz="0" w:space="0" w:color="auto"/>
        <w:right w:val="none" w:sz="0" w:space="0" w:color="auto"/>
      </w:divBdr>
      <w:divsChild>
        <w:div w:id="3263710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0309384">
              <w:marLeft w:val="0"/>
              <w:marRight w:val="0"/>
              <w:marTop w:val="0"/>
              <w:marBottom w:val="0"/>
              <w:divBdr>
                <w:top w:val="none" w:sz="0" w:space="0" w:color="auto"/>
                <w:left w:val="none" w:sz="0" w:space="0" w:color="auto"/>
                <w:bottom w:val="none" w:sz="0" w:space="0" w:color="auto"/>
                <w:right w:val="none" w:sz="0" w:space="0" w:color="auto"/>
              </w:divBdr>
              <w:divsChild>
                <w:div w:id="222913611">
                  <w:marLeft w:val="0"/>
                  <w:marRight w:val="0"/>
                  <w:marTop w:val="0"/>
                  <w:marBottom w:val="0"/>
                  <w:divBdr>
                    <w:top w:val="none" w:sz="0" w:space="0" w:color="auto"/>
                    <w:left w:val="none" w:sz="0" w:space="0" w:color="auto"/>
                    <w:bottom w:val="none" w:sz="0" w:space="0" w:color="auto"/>
                    <w:right w:val="none" w:sz="0" w:space="0" w:color="auto"/>
                  </w:divBdr>
                  <w:divsChild>
                    <w:div w:id="184119311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14850757">
                          <w:marLeft w:val="0"/>
                          <w:marRight w:val="0"/>
                          <w:marTop w:val="0"/>
                          <w:marBottom w:val="0"/>
                          <w:divBdr>
                            <w:top w:val="none" w:sz="0" w:space="0" w:color="auto"/>
                            <w:left w:val="none" w:sz="0" w:space="0" w:color="auto"/>
                            <w:bottom w:val="none" w:sz="0" w:space="0" w:color="auto"/>
                            <w:right w:val="none" w:sz="0" w:space="0" w:color="auto"/>
                          </w:divBdr>
                          <w:divsChild>
                            <w:div w:id="45760028">
                              <w:marLeft w:val="0"/>
                              <w:marRight w:val="0"/>
                              <w:marTop w:val="0"/>
                              <w:marBottom w:val="0"/>
                              <w:divBdr>
                                <w:top w:val="none" w:sz="0" w:space="0" w:color="auto"/>
                                <w:left w:val="none" w:sz="0" w:space="0" w:color="auto"/>
                                <w:bottom w:val="none" w:sz="0" w:space="0" w:color="auto"/>
                                <w:right w:val="none" w:sz="0" w:space="0" w:color="auto"/>
                              </w:divBdr>
                              <w:divsChild>
                                <w:div w:id="151349435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936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1151579">
      <w:bodyDiv w:val="1"/>
      <w:marLeft w:val="0"/>
      <w:marRight w:val="0"/>
      <w:marTop w:val="0"/>
      <w:marBottom w:val="0"/>
      <w:divBdr>
        <w:top w:val="none" w:sz="0" w:space="0" w:color="auto"/>
        <w:left w:val="none" w:sz="0" w:space="0" w:color="auto"/>
        <w:bottom w:val="none" w:sz="0" w:space="0" w:color="auto"/>
        <w:right w:val="none" w:sz="0" w:space="0" w:color="auto"/>
      </w:divBdr>
    </w:div>
    <w:div w:id="1792045525">
      <w:bodyDiv w:val="1"/>
      <w:marLeft w:val="0"/>
      <w:marRight w:val="0"/>
      <w:marTop w:val="0"/>
      <w:marBottom w:val="0"/>
      <w:divBdr>
        <w:top w:val="none" w:sz="0" w:space="0" w:color="auto"/>
        <w:left w:val="none" w:sz="0" w:space="0" w:color="auto"/>
        <w:bottom w:val="none" w:sz="0" w:space="0" w:color="auto"/>
        <w:right w:val="none" w:sz="0" w:space="0" w:color="auto"/>
      </w:divBdr>
    </w:div>
    <w:div w:id="200115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771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33</cp:revision>
  <dcterms:created xsi:type="dcterms:W3CDTF">2020-08-07T05:26:00Z</dcterms:created>
  <dcterms:modified xsi:type="dcterms:W3CDTF">2020-08-07T15:37:00Z</dcterms:modified>
</cp:coreProperties>
</file>